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31</w:t>
      </w:r>
    </w:p>
    <w:p>
      <w:pPr>
        <w:pStyle w:val="BodyText"/>
        <w:spacing w:before="2"/>
        <w:rPr>
          <w:b/>
          <w:sz w:val="16"/>
        </w:rPr>
      </w:pPr>
    </w:p>
    <w:p>
      <w:pPr>
        <w:pStyle w:val="BodyText"/>
        <w:spacing w:before="90"/>
        <w:ind w:left="100"/>
      </w:pPr>
      <w:r>
        <w:rPr/>
        <w:t>Introduced by the Human Services and Finance Committees of the:</w:t>
      </w:r>
    </w:p>
    <w:p>
      <w:pPr>
        <w:pStyle w:val="BodyText"/>
      </w:pPr>
    </w:p>
    <w:p>
      <w:pPr>
        <w:pStyle w:val="BodyText"/>
        <w:ind w:left="155" w:right="156"/>
        <w:jc w:val="center"/>
      </w:pPr>
      <w:r>
        <w:rPr/>
        <w:t>INGHAM COUNTY BOARD OF COMMISSIONERS</w:t>
      </w:r>
    </w:p>
    <w:p>
      <w:pPr>
        <w:pStyle w:val="BodyText"/>
      </w:pPr>
    </w:p>
    <w:p>
      <w:pPr>
        <w:pStyle w:val="Heading1"/>
        <w:ind w:left="155" w:right="156"/>
      </w:pPr>
      <w:r>
        <w:rPr/>
        <w:t>RESOLUTION TO AUTHORIZE THE FIRST AMENDMENT TO THE SUBLEASE BETWEEN THE COUNTY OF INGHAM AND COMMUNITY MENTAL HEALTH AUTHORITY OF CLINTON- EATON-INGHAM COUNTIES</w:t>
      </w:r>
    </w:p>
    <w:p>
      <w:pPr>
        <w:pStyle w:val="BodyText"/>
        <w:rPr>
          <w:b/>
        </w:rPr>
      </w:pPr>
    </w:p>
    <w:p>
      <w:pPr>
        <w:spacing w:before="0"/>
        <w:ind w:left="155" w:right="155" w:firstLine="0"/>
        <w:jc w:val="center"/>
        <w:rPr>
          <w:b/>
          <w:sz w:val="24"/>
        </w:rPr>
      </w:pPr>
      <w:r>
        <w:rPr>
          <w:b/>
          <w:sz w:val="24"/>
        </w:rPr>
        <w:t>RESOLUTION #26 – 448</w:t>
      </w:r>
    </w:p>
    <w:p>
      <w:pPr>
        <w:pStyle w:val="BodyText"/>
        <w:rPr>
          <w:b/>
          <w:sz w:val="26"/>
        </w:rPr>
      </w:pPr>
    </w:p>
    <w:p>
      <w:pPr>
        <w:pStyle w:val="BodyText"/>
        <w:rPr>
          <w:b/>
          <w:sz w:val="22"/>
        </w:rPr>
      </w:pPr>
    </w:p>
    <w:p>
      <w:pPr>
        <w:pStyle w:val="BodyText"/>
        <w:ind w:left="100" w:right="241"/>
      </w:pPr>
      <w:r>
        <w:rPr/>
        <w:t>WHEREAS, the County and the Ingham County Building Authority (the “Authority”) entered into a Full Faith and Credit General Obligation Contract of Lease dated December 30, 2024 (the “Contract of Lease”), with respect to the acquisition, renovation, construction, furnishing, equipping, and improving of Unit 1 of the Greenlawn Campus Condominium, which has been or will be formed, located at or near 2900 Stabler Street, Lansing, Michigan (collectively, the “Project”) for use by Community Mental Health Authority (CMH); and</w:t>
      </w:r>
    </w:p>
    <w:p>
      <w:pPr>
        <w:pStyle w:val="BodyText"/>
      </w:pPr>
    </w:p>
    <w:p>
      <w:pPr>
        <w:pStyle w:val="BodyText"/>
        <w:ind w:left="100" w:right="381"/>
      </w:pPr>
      <w:r>
        <w:rPr/>
        <w:t>WHEREAS, in order to permit the Project to be used by CMH for its purposes and to permit CMH to assume the obligations of the County incurred by the County in the Contract of Lease, the County and CMH entered into a Sublease dated December 30, 2024; and</w:t>
      </w:r>
    </w:p>
    <w:p>
      <w:pPr>
        <w:pStyle w:val="BodyText"/>
      </w:pPr>
    </w:p>
    <w:p>
      <w:pPr>
        <w:pStyle w:val="BodyText"/>
        <w:ind w:left="100" w:right="96"/>
      </w:pPr>
      <w:r>
        <w:rPr/>
        <w:t>WHEREAS, the County and CMH now desire to enter into this First Amendment to Sublease between County of Ingham and Community Mental Health Authority of Clinton-Eaton-Ingham Counties to clarify that upon retirement, redemption, defeasance, or other full discharge of all bonds issued by the Authority for the Project, and full satisfaction of CMH’s corresponding payment obligations under the sublease, title to the Project property shall be conveyed as required by Act 31 of 1948, MCL 123.951 et seq. following conveyance of title to the County, termination of the Contract of Lease and Sublease, and receipt of any required approvals, the County shall convey its right, title, and interest in the Project property and improvements to CMH for One Dollar ($1.00), subject to permitted encumbrances, applicable law, and the governing bond, lease, and sublease documents.</w:t>
      </w:r>
    </w:p>
    <w:p>
      <w:pPr>
        <w:pStyle w:val="BodyText"/>
      </w:pPr>
    </w:p>
    <w:p>
      <w:pPr>
        <w:pStyle w:val="BodyText"/>
        <w:spacing w:before="1"/>
        <w:ind w:left="100" w:right="470"/>
      </w:pPr>
      <w:r>
        <w:rPr/>
        <w:t>WHEREAS, that the Sublease shall expire on January 2, 2050, but only if and when all bonds issued by the Authority for the Project have been retired, redeemed, defeased, or otherwise fully discharged and CMH has fully satisfied its corresponding payment obligations under the Sublease; and</w:t>
      </w:r>
    </w:p>
    <w:p>
      <w:pPr>
        <w:pStyle w:val="BodyText"/>
      </w:pPr>
    </w:p>
    <w:p>
      <w:pPr>
        <w:pStyle w:val="BodyText"/>
        <w:ind w:left="100" w:right="416"/>
      </w:pPr>
      <w:r>
        <w:rPr/>
        <w:t>WHEREAS, in the event that those bonds are retired, redeemed, defeased, or otherwise fully discharged, and CMH fully satisfies its corresponding payment obligations under the Sublease before January 2, 2050, the Contract of Lease and Sublease shall terminate upon such full discharge and satisfaction; and</w:t>
      </w:r>
    </w:p>
    <w:p>
      <w:pPr>
        <w:pStyle w:val="BodyText"/>
      </w:pPr>
    </w:p>
    <w:p>
      <w:pPr>
        <w:pStyle w:val="BodyText"/>
        <w:ind w:left="100" w:right="456"/>
      </w:pPr>
      <w:r>
        <w:rPr/>
        <w:t>WHEREAS, the County Attorney represents both the County and CMH, and reasonably believes that its representation in this matter will not adversely affect the parties, nor does it appear that any confidential information received would be material to the transaction or disclosed by the County Attorney; however it is possible that a disagreement may develop regarding a legal opinion between the parties in the future; and</w:t>
      </w:r>
    </w:p>
    <w:p>
      <w:pPr>
        <w:pStyle w:val="BodyText"/>
      </w:pPr>
    </w:p>
    <w:p>
      <w:pPr>
        <w:pStyle w:val="BodyText"/>
        <w:ind w:left="100" w:right="628"/>
      </w:pPr>
      <w:r>
        <w:rPr/>
        <w:t>WHEREAS, the County Attorney, pursuant to Rule of Professional Conduct 1.7, requests a signed conflict waiver for the County Attorney to prepare, review, and approve the agreement with CMH.</w:t>
      </w:r>
    </w:p>
    <w:p>
      <w:pPr>
        <w:spacing w:after="0"/>
        <w:sectPr>
          <w:type w:val="continuous"/>
          <w:pgSz w:w="12240" w:h="15840"/>
          <w:pgMar w:top="1360" w:bottom="280" w:left="620" w:right="620"/>
        </w:sectPr>
      </w:pPr>
    </w:p>
    <w:p>
      <w:pPr>
        <w:pStyle w:val="BodyText"/>
        <w:spacing w:before="10"/>
        <w:rPr>
          <w:sz w:val="10"/>
        </w:rPr>
      </w:pPr>
    </w:p>
    <w:p>
      <w:pPr>
        <w:pStyle w:val="BodyText"/>
        <w:spacing w:before="90"/>
        <w:ind w:left="100" w:right="189"/>
      </w:pPr>
      <w:r>
        <w:rPr/>
        <w:t>THEREFORE BE IT RESOLVED, that upon termination of the Contract of Lease and Sublease, title to the Project property shall be conveyed as required by Act 31 of 1948, MCL 123.951 et seq., and following conveyance of title to the County, and receipt of any required approvals, the County shall convey its right, title, and interest in the Project property and improvements to CMH for One Dollar ($1.00), subject to permitted encumbrances, applicable law, and the governing bond, lease, and sublease documents.</w:t>
      </w:r>
    </w:p>
    <w:p>
      <w:pPr>
        <w:pStyle w:val="BodyText"/>
      </w:pPr>
    </w:p>
    <w:p>
      <w:pPr>
        <w:pStyle w:val="BodyText"/>
        <w:ind w:left="100" w:right="161"/>
      </w:pPr>
      <w:r>
        <w:rPr/>
        <w:t>BE IT FURTHER RESOLVED, that all other terms and conditions contained in the Sublease will remain in the same full force and effect except as modified by this resolution.</w:t>
      </w:r>
    </w:p>
    <w:p>
      <w:pPr>
        <w:pStyle w:val="BodyText"/>
      </w:pPr>
    </w:p>
    <w:p>
      <w:pPr>
        <w:pStyle w:val="BodyText"/>
        <w:ind w:left="100" w:right="801"/>
      </w:pPr>
      <w:r>
        <w:rPr/>
        <w:t>BE IT FURTHER RESOLVED, that execution of this amendment is contingent upon the approval of the Ingham County Building Authority.</w:t>
      </w:r>
    </w:p>
    <w:p>
      <w:pPr>
        <w:pStyle w:val="BodyText"/>
      </w:pPr>
    </w:p>
    <w:p>
      <w:pPr>
        <w:pStyle w:val="BodyText"/>
        <w:ind w:left="100" w:right="274"/>
      </w:pPr>
      <w:r>
        <w:rPr/>
        <w:t>BE IT FURTHER RESOLVED, that the Ingham County Board of Commissioners, having been advised of the risks of the Attorney representing both the County and CMH, hereby approves a waiver of legal conflict to allow the County Attorney to prepare, review, and approve as to legal form the agreement between CMH and the County, and further authorizes the Board Chairperson to sign the waiver and consent.</w:t>
      </w:r>
    </w:p>
    <w:p>
      <w:pPr>
        <w:pStyle w:val="BodyText"/>
      </w:pPr>
    </w:p>
    <w:p>
      <w:pPr>
        <w:pStyle w:val="BodyText"/>
        <w:ind w:left="100" w:right="316"/>
      </w:pPr>
      <w:r>
        <w:rPr/>
        <w:t>BE IT FURTHER RESOLVED, that the Chairperson of the Ingham County Board of Commissioners is authorized to sign any necessary contract documents consistent with this resolution, after review and approval as to form by the County Attorney.</w:t>
      </w:r>
    </w:p>
    <w:p>
      <w:pPr>
        <w:pStyle w:val="BodyText"/>
      </w:pPr>
    </w:p>
    <w:p>
      <w:pPr>
        <w:spacing w:before="0"/>
        <w:ind w:left="100" w:right="0" w:firstLine="0"/>
        <w:jc w:val="left"/>
        <w:rPr>
          <w:sz w:val="24"/>
        </w:rPr>
      </w:pPr>
      <w:r>
        <w:rPr>
          <w:b/>
          <w:sz w:val="24"/>
        </w:rPr>
        <w:t>HUMAN SERVICES: Yeas: </w:t>
      </w:r>
      <w:r>
        <w:rPr>
          <w:sz w:val="24"/>
        </w:rPr>
        <w:t>Tennis, Morgan, Willis, Ruest, Schafer</w:t>
      </w:r>
    </w:p>
    <w:p>
      <w:pPr>
        <w:tabs>
          <w:tab w:pos="2211" w:val="left" w:leader="none"/>
          <w:tab w:pos="4755"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pStyle w:val="BodyText"/>
        <w:spacing w:before="7"/>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pgSz w:w="12240" w:h="15840"/>
      <w:pgMar w:top="150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2026-09-23T14:50:24Z</dcterms:created>
  <dcterms:modified xsi:type="dcterms:W3CDTF">2026-09-23T14:50:24Z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